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29845</wp:posOffset>
            </wp:positionH>
            <wp:positionV relativeFrom="paragraph">
              <wp:posOffset>22225</wp:posOffset>
            </wp:positionV>
            <wp:extent cx="1163955" cy="107886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955" cy="1078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pBdr>
          <w:top w:val="thinThickLargeGap" w:sz="2" w:space="1" w:color="000000"/>
          <w:left w:val="thinThickLargeGap" w:sz="2" w:space="1" w:color="000000"/>
          <w:bottom w:val="thinThickLargeGap" w:sz="2" w:space="1" w:color="000000"/>
          <w:right w:val="thinThickLargeGap" w:sz="2" w:space="1" w:color="000000"/>
        </w:pBdr>
        <w:snapToGrid w:val="false"/>
        <w:spacing w:before="0" w:after="0"/>
        <w:ind w:left="567" w:right="497" w:hanging="0"/>
        <w:jc w:val="center"/>
        <w:rPr>
          <w:rFonts w:ascii="Liberation Serif" w:hAnsi="Liberation Serif"/>
          <w:b/>
          <w:b/>
          <w:bCs/>
          <w:caps w:val="false"/>
          <w:smallCaps w:val="false"/>
          <w:sz w:val="22"/>
          <w:szCs w:val="22"/>
        </w:rPr>
      </w:pPr>
      <w:r>
        <w:rPr>
          <w:b/>
          <w:bCs/>
          <w:caps w:val="false"/>
          <w:smallCaps w:val="false"/>
          <w:sz w:val="22"/>
          <w:szCs w:val="22"/>
        </w:rPr>
      </w:r>
    </w:p>
    <w:p>
      <w:pPr>
        <w:pStyle w:val="Normal"/>
        <w:pBdr>
          <w:top w:val="thinThickLargeGap" w:sz="2" w:space="1" w:color="000000"/>
          <w:left w:val="thinThickLargeGap" w:sz="2" w:space="1" w:color="000000"/>
          <w:bottom w:val="thinThickLargeGap" w:sz="2" w:space="1" w:color="000000"/>
          <w:right w:val="thinThickLargeGap" w:sz="2" w:space="1" w:color="000000"/>
        </w:pBdr>
        <w:snapToGrid w:val="false"/>
        <w:spacing w:before="0" w:after="0"/>
        <w:ind w:left="567" w:right="497" w:hanging="0"/>
        <w:jc w:val="center"/>
        <w:rPr>
          <w:rFonts w:ascii="Liberation Serif" w:hAnsi="Liberation Serif"/>
          <w:sz w:val="22"/>
          <w:szCs w:val="22"/>
        </w:rPr>
      </w:pPr>
      <w:r>
        <w:rPr>
          <w:b/>
          <w:bCs/>
          <w:caps w:val="false"/>
          <w:smallCaps w:val="false"/>
          <w:sz w:val="22"/>
          <w:szCs w:val="22"/>
          <w:u w:val="none"/>
          <w:lang w:val="fr-FR"/>
        </w:rPr>
        <w:t>Mission d'assistant à maîtrise d’ouvrage pour l’accompagnement du transfert de la DEETS sur le site de la Providence situé à Saint Denis.</w:t>
      </w:r>
    </w:p>
    <w:p>
      <w:pPr>
        <w:pStyle w:val="Normal"/>
        <w:pBdr>
          <w:top w:val="thinThickLargeGap" w:sz="2" w:space="1" w:color="000000"/>
          <w:left w:val="thinThickLargeGap" w:sz="2" w:space="1" w:color="000000"/>
          <w:bottom w:val="thinThickLargeGap" w:sz="2" w:space="1" w:color="000000"/>
          <w:right w:val="thinThickLargeGap" w:sz="2" w:space="1" w:color="000000"/>
        </w:pBdr>
        <w:snapToGrid w:val="false"/>
        <w:spacing w:before="0" w:after="0"/>
        <w:ind w:left="567" w:right="497" w:hanging="0"/>
        <w:jc w:val="center"/>
        <w:rPr>
          <w:rFonts w:ascii="Liberation Serif" w:hAnsi="Liberation Serif"/>
          <w:b/>
          <w:b/>
          <w:bCs/>
          <w:caps w:val="false"/>
          <w:smallCaps w:val="false"/>
          <w:sz w:val="22"/>
          <w:szCs w:val="22"/>
        </w:rPr>
      </w:pPr>
      <w:r>
        <w:rPr>
          <w:b/>
          <w:bCs/>
          <w:caps w:val="false"/>
          <w:smallCaps w:val="false"/>
          <w:sz w:val="22"/>
          <w:szCs w:val="22"/>
        </w:rPr>
      </w:r>
    </w:p>
    <w:p>
      <w:pPr>
        <w:pStyle w:val="Normal"/>
        <w:pageBreakBefore w:val="false"/>
        <w:snapToGrid w:val="false"/>
        <w:spacing w:before="0" w:after="0"/>
        <w:ind w:left="57" w:right="57" w:hanging="0"/>
        <w:jc w:val="center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napToGrid w:val="false"/>
        <w:spacing w:before="0" w:after="0"/>
        <w:ind w:left="57" w:right="57" w:hanging="0"/>
        <w:jc w:val="center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napToGrid w:val="false"/>
        <w:spacing w:before="0" w:after="0"/>
        <w:ind w:left="57" w:right="57" w:hanging="0"/>
        <w:jc w:val="center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napToGrid w:val="false"/>
        <w:spacing w:before="0" w:after="0"/>
        <w:ind w:left="57" w:right="57" w:hanging="0"/>
        <w:jc w:val="center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napToGrid w:val="false"/>
        <w:spacing w:before="0" w:after="0"/>
        <w:ind w:left="57" w:right="57" w:hanging="0"/>
        <w:jc w:val="center"/>
        <w:rPr>
          <w:rFonts w:ascii="Liberation Serif" w:hAnsi="Liberation Serif"/>
          <w:sz w:val="22"/>
          <w:szCs w:val="22"/>
        </w:rPr>
      </w:pPr>
      <w:r>
        <w:rPr>
          <w:b/>
          <w:bCs/>
          <w:sz w:val="22"/>
          <w:szCs w:val="22"/>
          <w:u w:val="none"/>
        </w:rPr>
        <w:t>Annexe 1 au règlement de la consultation</w:t>
      </w:r>
    </w:p>
    <w:p>
      <w:pPr>
        <w:pStyle w:val="Normal"/>
        <w:snapToGrid w:val="false"/>
        <w:spacing w:before="0" w:after="0"/>
        <w:ind w:left="57" w:right="57" w:hanging="0"/>
        <w:jc w:val="center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napToGrid w:val="false"/>
        <w:spacing w:before="0" w:after="0"/>
        <w:ind w:left="57" w:right="57" w:hanging="0"/>
        <w:jc w:val="center"/>
        <w:rPr>
          <w:rFonts w:ascii="Liberation Serif" w:hAnsi="Liberation Serif"/>
          <w:sz w:val="22"/>
          <w:szCs w:val="22"/>
        </w:rPr>
      </w:pPr>
      <w:r>
        <w:rPr>
          <w:b/>
          <w:bCs/>
          <w:sz w:val="22"/>
          <w:szCs w:val="22"/>
        </w:rPr>
        <w:t>Cadre de réponse du mémoire technique</w:t>
      </w:r>
    </w:p>
    <w:p>
      <w:pPr>
        <w:pStyle w:val="Normal"/>
        <w:snapToGrid w:val="false"/>
        <w:spacing w:before="0" w:after="0"/>
        <w:ind w:left="57" w:right="57" w:hanging="0"/>
        <w:jc w:val="center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napToGrid w:val="false"/>
        <w:spacing w:before="0" w:after="0"/>
        <w:ind w:left="57" w:right="57" w:hanging="0"/>
        <w:jc w:val="center"/>
        <w:rPr>
          <w:rFonts w:ascii="Liberation Serif" w:hAnsi="Liberation Serif"/>
          <w:sz w:val="22"/>
          <w:szCs w:val="22"/>
        </w:rPr>
      </w:pPr>
      <w:r>
        <w:rPr>
          <w:b/>
          <w:bCs/>
          <w:sz w:val="22"/>
          <w:szCs w:val="22"/>
        </w:rPr>
        <w:t>Offre technique du candidat</w:t>
      </w:r>
    </w:p>
    <w:p>
      <w:pPr>
        <w:pStyle w:val="Normal"/>
        <w:snapToGrid w:val="false"/>
        <w:spacing w:before="0" w:after="0"/>
        <w:ind w:left="57" w:right="57" w:hanging="0"/>
        <w:jc w:val="center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napToGrid w:val="false"/>
        <w:spacing w:before="0" w:after="0"/>
        <w:ind w:left="57" w:right="57" w:hanging="0"/>
        <w:jc w:val="center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napToGrid w:val="false"/>
        <w:spacing w:before="0" w:after="0"/>
        <w:ind w:left="57" w:right="57" w:hanging="0"/>
        <w:jc w:val="center"/>
        <w:rPr>
          <w:rFonts w:ascii="Liberation Serif" w:hAnsi="Liberation Serif"/>
          <w:sz w:val="22"/>
          <w:szCs w:val="22"/>
        </w:rPr>
      </w:pPr>
      <w:r>
        <w:rPr>
          <w:b/>
          <w:bCs/>
          <w:sz w:val="22"/>
          <w:szCs w:val="22"/>
        </w:rPr>
        <w:t xml:space="preserve">Critères qualifiants </w:t>
      </w:r>
    </w:p>
    <w:p>
      <w:pPr>
        <w:pStyle w:val="Normal"/>
        <w:snapToGrid w:val="false"/>
        <w:spacing w:before="0" w:after="0"/>
        <w:ind w:left="57" w:right="57" w:hanging="0"/>
        <w:jc w:val="center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napToGrid w:val="false"/>
        <w:spacing w:before="0" w:after="0"/>
        <w:ind w:left="57" w:right="57" w:hanging="0"/>
        <w:jc w:val="center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napToGrid w:val="false"/>
        <w:spacing w:before="0" w:after="0"/>
        <w:ind w:left="57" w:right="57" w:hanging="0"/>
        <w:jc w:val="center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napToGrid w:val="false"/>
        <w:spacing w:before="0" w:after="0"/>
        <w:ind w:left="57" w:right="57" w:hanging="0"/>
        <w:jc w:val="center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napToGrid w:val="false"/>
        <w:spacing w:before="0" w:after="0"/>
        <w:ind w:left="57" w:right="57" w:hanging="0"/>
        <w:jc w:val="center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  <w:t xml:space="preserve">Cette annexe comporte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> NUMPAGES </w:instrText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t>3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pages</w:t>
      </w:r>
    </w:p>
    <w:p>
      <w:pPr>
        <w:pStyle w:val="Normal"/>
        <w:snapToGrid w:val="false"/>
        <w:spacing w:before="0" w:after="0"/>
        <w:ind w:left="57" w:right="57" w:hanging="0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snapToGrid w:val="false"/>
        <w:spacing w:before="0" w:after="0"/>
        <w:ind w:left="57" w:right="57" w:hanging="0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  <w:r>
        <w:br w:type="page"/>
      </w:r>
    </w:p>
    <w:p>
      <w:pPr>
        <w:pStyle w:val="Normal"/>
        <w:snapToGrid w:val="false"/>
        <w:spacing w:before="0" w:after="0"/>
        <w:ind w:left="57" w:right="57" w:hanging="0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snapToGrid w:val="false"/>
        <w:spacing w:before="0" w:after="0"/>
        <w:ind w:left="57" w:right="57" w:hanging="0"/>
        <w:jc w:val="both"/>
        <w:rPr>
          <w:rFonts w:ascii="Liberation Serif" w:hAnsi="Liberation Serif"/>
          <w:sz w:val="22"/>
          <w:szCs w:val="22"/>
        </w:rPr>
      </w:pPr>
      <w:r>
        <w:rPr>
          <w:b w:val="false"/>
          <w:i w:val="false"/>
          <w:color w:val="000000"/>
          <w:sz w:val="22"/>
          <w:szCs w:val="22"/>
        </w:rPr>
        <w:t>Conformément au règlement de consultation, le présent mémoire constitue la justification de l’offre au regard du critère suivant :</w:t>
      </w:r>
    </w:p>
    <w:p>
      <w:pPr>
        <w:pStyle w:val="Normal"/>
        <w:snapToGrid w:val="false"/>
        <w:spacing w:before="0" w:after="0"/>
        <w:ind w:left="57" w:right="57" w:hanging="0"/>
        <w:jc w:val="both"/>
        <w:rPr>
          <w:rFonts w:ascii="Liberation Serif" w:hAnsi="Liberation Serif"/>
          <w:b w:val="false"/>
          <w:b w:val="false"/>
          <w:i w:val="false"/>
          <w:i w:val="false"/>
          <w:color w:val="000000"/>
          <w:sz w:val="22"/>
          <w:szCs w:val="22"/>
        </w:rPr>
      </w:pPr>
      <w:r>
        <w:rPr>
          <w:b w:val="false"/>
          <w:i w:val="false"/>
          <w:color w:val="000000"/>
          <w:sz w:val="22"/>
          <w:szCs w:val="22"/>
        </w:rPr>
      </w:r>
    </w:p>
    <w:p>
      <w:pPr>
        <w:pStyle w:val="Normal"/>
        <w:snapToGrid w:val="false"/>
        <w:spacing w:before="0" w:after="0"/>
        <w:ind w:left="57" w:right="57" w:hanging="0"/>
        <w:jc w:val="both"/>
        <w:rPr>
          <w:rFonts w:ascii="Liberation Serif" w:hAnsi="Liberation Serif"/>
          <w:sz w:val="22"/>
          <w:szCs w:val="22"/>
        </w:rPr>
      </w:pPr>
      <w:r>
        <w:rPr>
          <w:b/>
          <w:bCs/>
          <w:i w:val="false"/>
          <w:color w:val="000000"/>
          <w:sz w:val="22"/>
          <w:szCs w:val="22"/>
        </w:rPr>
        <w:t>VALEUR TECHNIQUE (pondérée à 55%)</w:t>
      </w:r>
    </w:p>
    <w:p>
      <w:pPr>
        <w:pStyle w:val="Parareponse"/>
        <w:keepNext w:val="false"/>
        <w:snapToGrid w:val="false"/>
        <w:spacing w:before="0" w:after="0"/>
        <w:ind w:left="0" w:right="0" w:hanging="0"/>
        <w:jc w:val="both"/>
        <w:rPr>
          <w:rFonts w:ascii="Liberation Serif" w:hAnsi="Liberation Serif"/>
          <w:sz w:val="22"/>
          <w:szCs w:val="22"/>
        </w:rPr>
      </w:pPr>
      <w:r>
        <w:rPr>
          <w:rFonts w:eastAsia="Times New Roman" w:cs="Times New Roman"/>
          <w:b w:val="false"/>
          <w:bCs w:val="false"/>
          <w:i w:val="false"/>
          <w:iCs w:val="false"/>
          <w:color w:val="000000"/>
          <w:sz w:val="22"/>
          <w:szCs w:val="22"/>
          <w:shd w:fill="auto" w:val="clear"/>
        </w:rPr>
        <w:t xml:space="preserve">Conformément à l’article </w:t>
      </w:r>
      <w:r>
        <w:rPr>
          <w:rFonts w:eastAsia="Times New Roman" w:cs="Times New Roman"/>
          <w:b w:val="false"/>
          <w:bCs w:val="false"/>
          <w:i w:val="false"/>
          <w:iCs w:val="false"/>
          <w:color w:val="000000"/>
          <w:sz w:val="22"/>
          <w:szCs w:val="22"/>
          <w:shd w:fill="auto" w:val="clear"/>
        </w:rPr>
        <w:t>4</w:t>
      </w:r>
      <w:r>
        <w:rPr>
          <w:rFonts w:eastAsia="Times New Roman" w:cs="Times New Roman"/>
          <w:b w:val="false"/>
          <w:bCs w:val="false"/>
          <w:i w:val="false"/>
          <w:iCs w:val="false"/>
          <w:color w:val="000000"/>
          <w:sz w:val="22"/>
          <w:szCs w:val="22"/>
          <w:shd w:fill="auto" w:val="clear"/>
        </w:rPr>
        <w:t xml:space="preserve">.2 du RC, </w:t>
      </w:r>
      <w:r>
        <w:rPr>
          <w:rFonts w:eastAsia="Times New Roman" w:cs="Times New Roman"/>
          <w:b w:val="false"/>
          <w:bCs w:val="false"/>
          <w:i w:val="false"/>
          <w:iCs w:val="false"/>
          <w:color w:val="000000"/>
          <w:sz w:val="22"/>
          <w:szCs w:val="22"/>
          <w:shd w:fill="auto" w:val="clear"/>
        </w:rPr>
        <w:t xml:space="preserve">la </w:t>
      </w:r>
      <w:r>
        <w:rPr>
          <w:b w:val="false"/>
          <w:bCs w:val="false"/>
          <w:i w:val="false"/>
          <w:color w:val="000000"/>
          <w:sz w:val="22"/>
          <w:szCs w:val="22"/>
          <w:shd w:fill="auto" w:val="clear"/>
        </w:rPr>
        <w:t xml:space="preserve">valeur technique </w:t>
      </w:r>
      <w:r>
        <w:rPr>
          <w:b w:val="false"/>
          <w:bCs w:val="false"/>
          <w:i w:val="false"/>
          <w:color w:val="000000"/>
          <w:sz w:val="22"/>
          <w:szCs w:val="22"/>
          <w:shd w:fill="auto" w:val="clear"/>
        </w:rPr>
        <w:t xml:space="preserve">sera évaluée </w:t>
      </w:r>
      <w:r>
        <w:rPr>
          <w:b w:val="false"/>
          <w:bCs w:val="false"/>
          <w:i w:val="false"/>
          <w:color w:val="000000"/>
          <w:sz w:val="22"/>
          <w:szCs w:val="22"/>
          <w:shd w:fill="auto" w:val="clear"/>
        </w:rPr>
        <w:t xml:space="preserve">sur la base des critères qualifiants (CQ) affectés de leurs coefficients respectifs: </w:t>
      </w:r>
    </w:p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Parareponse"/>
        <w:snapToGrid w:val="false"/>
        <w:spacing w:before="0" w:after="0"/>
        <w:ind w:left="0" w:right="0" w:hanging="0"/>
        <w:jc w:val="both"/>
        <w:rPr>
          <w:rFonts w:ascii="Marianne" w:hAnsi="Marianne" w:eastAsia="Times New Roman" w:cs="Arial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outline w:val="false"/>
          <w:shadow w:val="false"/>
          <w:spacing w:val="-10"/>
          <w:sz w:val="6"/>
          <w:szCs w:val="6"/>
          <w:u w:val="none"/>
          <w:em w:val="none"/>
          <w:lang w:val="fr-FR" w:eastAsia="zh-CN" w:bidi="ar-SA"/>
        </w:rPr>
      </w:pPr>
      <w:r>
        <w:rPr>
          <w:rFonts w:eastAsia="Times New Roman" w:cs="Arial" w:ascii="Marianne" w:hAnsi="Marianne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spacing w:val="-10"/>
          <w:sz w:val="6"/>
          <w:szCs w:val="6"/>
          <w:u w:val="none"/>
          <w:em w:val="none"/>
          <w:lang w:val="fr-FR" w:eastAsia="zh-CN" w:bidi="ar-SA"/>
        </w:rPr>
      </w:r>
    </w:p>
    <w:tbl>
      <w:tblPr>
        <w:tblW w:w="10718" w:type="dxa"/>
        <w:jc w:val="left"/>
        <w:tblInd w:w="102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463"/>
        <w:gridCol w:w="1254"/>
      </w:tblGrid>
      <w:tr>
        <w:trPr/>
        <w:tc>
          <w:tcPr>
            <w:tcW w:w="9463" w:type="dxa"/>
            <w:tcBorders>
              <w:top w:val="single" w:sz="2" w:space="0" w:color="000000"/>
              <w:left w:val="single" w:sz="2" w:space="0" w:color="000000"/>
            </w:tcBorders>
            <w:shd w:fill="5983B0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cs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2"/>
                <w:szCs w:val="22"/>
                <w:u w:val="none"/>
                <w:lang w:val="zxx" w:eastAsia="zxx" w:bidi="zxx"/>
              </w:rPr>
              <w:t>Critères qualifiants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5983B0" w:val="clear"/>
          </w:tcPr>
          <w:p>
            <w:pPr>
              <w:pStyle w:val="Contenudetableau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rFonts w:cs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2"/>
                <w:szCs w:val="22"/>
                <w:u w:val="none"/>
                <w:lang w:val="zxx" w:eastAsia="zxx" w:bidi="zxx"/>
              </w:rPr>
              <w:t>Coefficient</w:t>
            </w:r>
          </w:p>
        </w:tc>
      </w:tr>
      <w:tr>
        <w:trPr/>
        <w:tc>
          <w:tcPr>
            <w:tcW w:w="9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ind w:left="0" w:right="57" w:hanging="0"/>
              <w:jc w:val="both"/>
              <w:rPr/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CQ 1 :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 xml:space="preserve"> </w:t>
            </w:r>
            <w:r>
              <w:rPr>
                <w:rStyle w:val="Accentuationforte"/>
                <w:rFonts w:cs="Times New Roman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 xml:space="preserve">Compréhension du contexte et des enjeux du projet </w:t>
            </w:r>
            <w:r>
              <w:rPr>
                <w:rFonts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 xml:space="preserve"> </w:t>
            </w:r>
          </w:p>
          <w:p>
            <w:pPr>
              <w:pStyle w:val="Corpsdetexte"/>
              <w:numPr>
                <w:ilvl w:val="0"/>
                <w:numId w:val="3"/>
              </w:numPr>
              <w:tabs>
                <w:tab w:val="left" w:pos="0" w:leader="none"/>
              </w:tabs>
              <w:spacing w:lineRule="auto" w:line="276" w:before="0" w:after="0"/>
              <w:ind w:left="720" w:right="0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Clarté de l’analyse du contexte de la mission et capacité à identifier les enjeux spécifiques du déménagement : déménagement multi-sites, enjeux de continuité de service, délais contraints, coordination d’acteurs variés, sécurité, délais, concertation. </w:t>
            </w:r>
          </w:p>
          <w:p>
            <w:pPr>
              <w:pStyle w:val="Corpsdetexte"/>
              <w:numPr>
                <w:ilvl w:val="0"/>
                <w:numId w:val="3"/>
              </w:numPr>
              <w:tabs>
                <w:tab w:val="left" w:pos="0" w:leader="none"/>
              </w:tabs>
              <w:spacing w:before="0" w:after="0"/>
              <w:ind w:left="777" w:right="57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Capacité à démontrer une bonne appréhension des enjeux spécifiques d’un projet de l’État.</w:t>
            </w:r>
          </w:p>
          <w:p>
            <w:pPr>
              <w:pStyle w:val="Corpsdetexte"/>
              <w:numPr>
                <w:ilvl w:val="0"/>
                <w:numId w:val="4"/>
              </w:numPr>
              <w:tabs>
                <w:tab w:val="left" w:pos="0" w:leader="none"/>
              </w:tabs>
              <w:spacing w:before="0" w:after="0"/>
              <w:ind w:left="777" w:right="57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Niveau de personnalisation de l’approche par rapport au contexte présenté dans le CCTP.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4</w:t>
            </w:r>
          </w:p>
        </w:tc>
      </w:tr>
      <w:tr>
        <w:trPr/>
        <w:tc>
          <w:tcPr>
            <w:tcW w:w="94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CQ 2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 xml:space="preserve"> : </w:t>
            </w:r>
            <w:r>
              <w:rPr>
                <w:rStyle w:val="Accentuationforte"/>
                <w:rFonts w:cs="Times New Roman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Méthodologie proposée pour conduire la mission</w:t>
            </w:r>
            <w:r>
              <w:rPr>
                <w:rFonts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 xml:space="preserve"> </w:t>
            </w:r>
          </w:p>
          <w:p>
            <w:pPr>
              <w:pStyle w:val="Corpsdetexte"/>
              <w:numPr>
                <w:ilvl w:val="0"/>
                <w:numId w:val="5"/>
              </w:numPr>
              <w:tabs>
                <w:tab w:val="left" w:pos="0" w:leader="none"/>
              </w:tabs>
              <w:spacing w:lineRule="auto" w:line="276" w:before="0" w:after="0"/>
              <w:ind w:left="720" w:right="0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Pertinence de l’approche méthodologique pour chacune des phases du projet. </w:t>
            </w:r>
          </w:p>
          <w:p>
            <w:pPr>
              <w:pStyle w:val="Corpsdetexte"/>
              <w:numPr>
                <w:ilvl w:val="0"/>
                <w:numId w:val="5"/>
              </w:numPr>
              <w:tabs>
                <w:tab w:val="left" w:pos="0" w:leader="none"/>
              </w:tabs>
              <w:spacing w:lineRule="auto" w:line="276" w:before="0" w:after="0"/>
              <w:ind w:left="720" w:right="0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Modalités de pilotage, de coordination avec la maîtrise d’ouvrage : reporting., COPIL, réunions techniques, </w:t>
            </w:r>
          </w:p>
          <w:p>
            <w:pPr>
              <w:pStyle w:val="Corpsdetexte"/>
              <w:numPr>
                <w:ilvl w:val="0"/>
                <w:numId w:val="6"/>
              </w:numPr>
              <w:tabs>
                <w:tab w:val="left" w:pos="0" w:leader="none"/>
              </w:tabs>
              <w:spacing w:before="0" w:after="0"/>
              <w:ind w:left="777" w:right="57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Qualité, clarté et pertinence des outils proposés (exemples ou trames de livrables : planning, matrices de suivi, RACI, plan de communication…). </w:t>
            </w:r>
          </w:p>
          <w:p>
            <w:pPr>
              <w:pStyle w:val="Corpsdetexte"/>
              <w:numPr>
                <w:ilvl w:val="0"/>
                <w:numId w:val="7"/>
              </w:numPr>
              <w:tabs>
                <w:tab w:val="left" w:pos="0" w:leader="none"/>
              </w:tabs>
              <w:spacing w:before="0" w:after="0"/>
              <w:ind w:left="777" w:right="57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Capacité à proposer une démarche structurée, participative, adaptable aux aléas et compatible avec les contraintes internes du maître d’ouvrage.</w:t>
            </w:r>
          </w:p>
        </w:tc>
        <w:tc>
          <w:tcPr>
            <w:tcW w:w="12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5</w:t>
            </w:r>
          </w:p>
        </w:tc>
      </w:tr>
      <w:tr>
        <w:trPr/>
        <w:tc>
          <w:tcPr>
            <w:tcW w:w="94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Parareponse"/>
              <w:snapToGrid w:val="false"/>
              <w:spacing w:before="0" w:after="0"/>
              <w:jc w:val="both"/>
              <w:rPr/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CQ 3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 xml:space="preserve"> : </w:t>
            </w:r>
            <w:r>
              <w:rPr>
                <w:rStyle w:val="Accentuationforte"/>
                <w:rFonts w:cs="Times New Roman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Qualité de l’équipe dédiée à la mission</w:t>
            </w:r>
            <w:r>
              <w:rPr>
                <w:rFonts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 xml:space="preserve"> </w:t>
            </w:r>
          </w:p>
          <w:p>
            <w:pPr>
              <w:pStyle w:val="Corpsdetexte"/>
              <w:numPr>
                <w:ilvl w:val="0"/>
                <w:numId w:val="8"/>
              </w:numPr>
              <w:tabs>
                <w:tab w:val="left" w:pos="54" w:leader="none"/>
              </w:tabs>
              <w:spacing w:lineRule="auto" w:line="276" w:before="0" w:after="0"/>
              <w:ind w:left="794" w:right="0" w:hanging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Composition de l’équipe et rôle de chaque intervenant (CV à fournir)</w:t>
            </w:r>
          </w:p>
          <w:p>
            <w:pPr>
              <w:pStyle w:val="Corpsdetexte"/>
              <w:numPr>
                <w:ilvl w:val="0"/>
                <w:numId w:val="8"/>
              </w:numPr>
              <w:tabs>
                <w:tab w:val="left" w:pos="54" w:leader="none"/>
              </w:tabs>
              <w:spacing w:lineRule="auto" w:line="276" w:before="0" w:after="0"/>
              <w:ind w:left="794" w:right="0" w:hanging="340"/>
              <w:jc w:val="both"/>
              <w:rPr>
                <w:rFonts w:ascii="Liberation Serif" w:hAnsi="Liberation Serif" w:eastAsia="SimSun" w:cs="Mangal"/>
                <w:color w:val="auto"/>
                <w:kern w:val="2"/>
                <w:sz w:val="22"/>
                <w:szCs w:val="22"/>
                <w:lang w:val="fr-FR" w:eastAsia="zh-CN" w:bidi="hi-IN"/>
              </w:rPr>
            </w:pPr>
            <w:r>
              <w:rPr>
                <w:rFonts w:eastAsia="SimSun" w:cs="Mangal"/>
                <w:color w:val="000000"/>
                <w:kern w:val="2"/>
                <w:sz w:val="22"/>
                <w:szCs w:val="22"/>
                <w:lang w:val="fr-FR" w:eastAsia="zh-CN" w:bidi="hi-IN"/>
              </w:rPr>
              <w:t>A</w:t>
            </w:r>
            <w:r>
              <w:rPr>
                <w:rFonts w:eastAsia="SimSun" w:cs="Mangal"/>
                <w:color w:val="000000"/>
                <w:kern w:val="2"/>
                <w:sz w:val="22"/>
                <w:szCs w:val="22"/>
                <w:lang w:val="fr-FR" w:eastAsia="zh-CN" w:bidi="hi-IN"/>
              </w:rPr>
              <w:t xml:space="preserve">déquation des profils avec les besoins de la mission, </w:t>
            </w:r>
            <w:r>
              <w:rPr>
                <w:rFonts w:eastAsia="SimSun" w:cs="Mangal"/>
                <w:color w:val="000000"/>
                <w:kern w:val="2"/>
                <w:sz w:val="22"/>
                <w:szCs w:val="22"/>
                <w:lang w:val="fr-FR" w:eastAsia="zh-CN" w:bidi="hi-IN"/>
              </w:rPr>
              <w:t>expérience sur des projets similaires →</w:t>
            </w:r>
            <w:r>
              <w:rPr>
                <w:rFonts w:eastAsia="SimSun" w:cs="Mangal"/>
                <w:color w:val="000000"/>
                <w:kern w:val="2"/>
                <w:sz w:val="22"/>
                <w:szCs w:val="22"/>
                <w:lang w:val="fr-FR" w:eastAsia="zh-CN" w:bidi="hi-IN"/>
              </w:rPr>
              <w:t xml:space="preserve"> </w:t>
            </w:r>
            <w:r>
              <w:rPr>
                <w:rFonts w:eastAsia="SimSun" w:cs="Mangal"/>
                <w:color w:val="000000"/>
                <w:kern w:val="2"/>
                <w:sz w:val="22"/>
                <w:szCs w:val="22"/>
                <w:lang w:val="fr-FR" w:eastAsia="zh-CN" w:bidi="hi-IN"/>
              </w:rPr>
              <w:t xml:space="preserve"> </w:t>
            </w:r>
            <w:r>
              <w:rPr>
                <w:rFonts w:eastAsia="SimSun" w:cs="Mangal"/>
                <w:color w:val="000000"/>
                <w:kern w:val="2"/>
                <w:sz w:val="22"/>
                <w:szCs w:val="22"/>
                <w:lang w:val="fr-FR" w:eastAsia="zh-CN" w:bidi="hi-IN"/>
              </w:rPr>
              <w:t xml:space="preserve">cf </w:t>
            </w:r>
            <w:r>
              <w:rPr>
                <w:rFonts w:eastAsia="SimSun" w:cs="Mangal"/>
                <w:color w:val="000000"/>
                <w:kern w:val="2"/>
                <w:sz w:val="22"/>
                <w:szCs w:val="22"/>
                <w:lang w:val="fr-FR" w:eastAsia="zh-CN" w:bidi="hi-IN"/>
              </w:rPr>
              <w:t>annexe 1 de l’AE - CDPGF (rôle de chaque intervenant pour chaque phase)</w:t>
            </w:r>
          </w:p>
          <w:p>
            <w:pPr>
              <w:pStyle w:val="Corpsdetexte"/>
              <w:numPr>
                <w:ilvl w:val="0"/>
                <w:numId w:val="8"/>
              </w:numPr>
              <w:tabs>
                <w:tab w:val="left" w:pos="54" w:leader="none"/>
              </w:tabs>
              <w:spacing w:lineRule="auto" w:line="276" w:before="0" w:after="0"/>
              <w:ind w:left="794" w:right="0" w:hanging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Engagements de disponibilité et de réactivité </w:t>
            </w:r>
          </w:p>
        </w:tc>
        <w:tc>
          <w:tcPr>
            <w:tcW w:w="12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3</w:t>
            </w:r>
          </w:p>
        </w:tc>
      </w:tr>
      <w:tr>
        <w:trPr>
          <w:trHeight w:val="749" w:hRule="atLeast"/>
        </w:trPr>
        <w:tc>
          <w:tcPr>
            <w:tcW w:w="94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Parareponse"/>
              <w:snapToGrid w:val="false"/>
              <w:spacing w:before="0" w:after="0"/>
              <w:jc w:val="both"/>
              <w:rPr/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CQ 4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 xml:space="preserve"> : </w:t>
            </w:r>
            <w:r>
              <w:rPr>
                <w:rStyle w:val="Accentuationforte"/>
                <w:rFonts w:cs="Times New Roman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Pertinence du planning d’intervention proposé</w:t>
            </w:r>
            <w:r>
              <w:rPr>
                <w:rFonts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 xml:space="preserve"> </w:t>
            </w:r>
          </w:p>
          <w:p>
            <w:pPr>
              <w:pStyle w:val="Corpsdetexte"/>
              <w:numPr>
                <w:ilvl w:val="0"/>
                <w:numId w:val="9"/>
              </w:numPr>
              <w:tabs>
                <w:tab w:val="left" w:pos="0" w:leader="none"/>
              </w:tabs>
              <w:spacing w:lineRule="auto" w:line="276" w:before="0" w:after="0"/>
              <w:ind w:left="720" w:right="0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Cohérence du planning proposé par le candidat avec le calendrier prévisionnel du projet.</w:t>
            </w:r>
          </w:p>
          <w:p>
            <w:pPr>
              <w:pStyle w:val="Corpsdetexte"/>
              <w:numPr>
                <w:ilvl w:val="0"/>
                <w:numId w:val="9"/>
              </w:numPr>
              <w:tabs>
                <w:tab w:val="left" w:pos="0" w:leader="none"/>
              </w:tabs>
              <w:spacing w:lineRule="auto" w:line="276" w:before="0" w:after="0"/>
              <w:ind w:left="720" w:right="0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Proposition d’optimisation.</w:t>
            </w:r>
          </w:p>
          <w:p>
            <w:pPr>
              <w:pStyle w:val="Corpsdetexte"/>
              <w:numPr>
                <w:ilvl w:val="0"/>
                <w:numId w:val="9"/>
              </w:numPr>
              <w:tabs>
                <w:tab w:val="left" w:pos="0" w:leader="none"/>
              </w:tabs>
              <w:spacing w:lineRule="auto" w:line="276" w:before="0" w:after="0"/>
              <w:ind w:left="720" w:right="0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Prise en compte des jalons clés (validation des livrables, COPIL, mise en concurrence des déménageurs, commande de mobilier neuf…).</w:t>
            </w:r>
          </w:p>
        </w:tc>
        <w:tc>
          <w:tcPr>
            <w:tcW w:w="12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2</w:t>
            </w:r>
          </w:p>
        </w:tc>
      </w:tr>
    </w:tbl>
    <w:p>
      <w:pPr>
        <w:pStyle w:val="Normal"/>
        <w:bidi w:val="0"/>
        <w:spacing w:before="57" w:after="57"/>
        <w:jc w:val="both"/>
        <w:rPr>
          <w:b w:val="false"/>
          <w:b w:val="false"/>
          <w:i w:val="false"/>
          <w:i w:val="false"/>
          <w:strike w:val="false"/>
          <w:dstrike w:val="false"/>
          <w:outline w:val="false"/>
          <w:shadow w:val="false"/>
          <w:u w:val="none"/>
          <w:em w:val="none"/>
        </w:rPr>
      </w:pPr>
      <w:r>
        <w:rPr>
          <w:rFonts w:ascii="Marianne" w:hAnsi="Marianne"/>
          <w:b w:val="false"/>
          <w:bCs w:val="false"/>
          <w:i/>
          <w:iCs/>
          <w:color w:val="000000"/>
          <w:sz w:val="20"/>
          <w:szCs w:val="20"/>
        </w:rPr>
      </w:r>
    </w:p>
    <w:tbl>
      <w:tblPr>
        <w:tblW w:w="10773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10773"/>
      </w:tblGrid>
      <w:tr>
        <w:trPr/>
        <w:tc>
          <w:tcPr>
            <w:tcW w:w="10773" w:type="dxa"/>
            <w:tcBorders/>
            <w:shd w:fill="FFFFD7" w:val="clear"/>
          </w:tcPr>
          <w:p>
            <w:pPr>
              <w:pStyle w:val="Normal"/>
              <w:widowControl w:val="false"/>
              <w:snapToGrid w:val="false"/>
              <w:spacing w:before="0" w:after="0"/>
              <w:ind w:left="57" w:right="57" w:hanging="0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posOffset>133985</wp:posOffset>
                  </wp:positionH>
                  <wp:positionV relativeFrom="paragraph">
                    <wp:posOffset>7620</wp:posOffset>
                  </wp:positionV>
                  <wp:extent cx="338455" cy="308610"/>
                  <wp:effectExtent l="0" t="0" r="0" b="0"/>
                  <wp:wrapSquare wrapText="largest"/>
                  <wp:docPr id="2" name="Image2 Copi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 Copi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 w:val="false"/>
                <w:i w:val="false"/>
                <w:color w:val="000000"/>
                <w:sz w:val="22"/>
                <w:szCs w:val="22"/>
              </w:rPr>
              <w:t>L</w:t>
            </w:r>
            <w:r>
              <w:rPr>
                <w:b w:val="false"/>
                <w:i w:val="false"/>
                <w:color w:val="000000"/>
                <w:sz w:val="22"/>
                <w:szCs w:val="22"/>
              </w:rPr>
              <w:t xml:space="preserve">e présent document constitue la </w:t>
            </w:r>
            <w:r>
              <w:rPr>
                <w:b/>
                <w:bCs/>
                <w:i w:val="false"/>
                <w:color w:val="000000"/>
                <w:sz w:val="22"/>
                <w:szCs w:val="22"/>
              </w:rPr>
              <w:t>proposition technique du candidat</w:t>
            </w:r>
            <w:r>
              <w:rPr>
                <w:b w:val="false"/>
                <w:i w:val="false"/>
                <w:color w:val="000000"/>
                <w:sz w:val="22"/>
                <w:szCs w:val="22"/>
              </w:rPr>
              <w:t>. À ce titre, il doit obligatoirement être joint à l’offre, sous peine de rejet de l’offre.</w:t>
            </w:r>
          </w:p>
          <w:p>
            <w:pPr>
              <w:pStyle w:val="Normal"/>
              <w:widowControl w:val="false"/>
              <w:snapToGrid w:val="false"/>
              <w:spacing w:before="0" w:after="0"/>
              <w:ind w:left="57" w:right="57" w:hanging="0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spacing w:before="0" w:after="0"/>
              <w:ind w:left="57" w:right="57" w:hanging="0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b w:val="false"/>
                <w:i w:val="false"/>
                <w:color w:val="000000"/>
                <w:sz w:val="22"/>
                <w:szCs w:val="22"/>
              </w:rPr>
              <w:t>Il doit obligatoirement être renseigné en respectant scrupuleusement les cadres de réponse :</w:t>
            </w:r>
          </w:p>
          <w:p>
            <w:pPr>
              <w:pStyle w:val="Normal"/>
              <w:widowControl w:val="false"/>
              <w:snapToGrid w:val="false"/>
              <w:spacing w:before="0" w:after="0"/>
              <w:ind w:left="57" w:right="57" w:hanging="0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b w:val="false"/>
                <w:i w:val="false"/>
                <w:color w:val="000000"/>
                <w:sz w:val="22"/>
                <w:szCs w:val="22"/>
              </w:rPr>
              <w:t xml:space="preserve">→ </w:t>
            </w:r>
            <w:r>
              <w:rPr>
                <w:b w:val="false"/>
                <w:i w:val="false"/>
                <w:color w:val="000000"/>
                <w:sz w:val="22"/>
                <w:szCs w:val="22"/>
              </w:rPr>
              <w:t xml:space="preserve">Nombre de pages maximum du présent cadre de réponse technique  : </w:t>
            </w:r>
            <w:r>
              <w:rPr>
                <w:b/>
                <w:bCs/>
                <w:i w:val="false"/>
                <w:color w:val="000000"/>
                <w:sz w:val="22"/>
                <w:szCs w:val="22"/>
              </w:rPr>
              <w:t xml:space="preserve">20 </w:t>
            </w:r>
            <w:r>
              <w:rPr>
                <w:b w:val="false"/>
                <w:i w:val="false"/>
                <w:color w:val="000000"/>
                <w:sz w:val="22"/>
                <w:szCs w:val="22"/>
              </w:rPr>
              <w:t>(hors les 2 premières pages de présentation)</w:t>
            </w:r>
          </w:p>
          <w:p>
            <w:pPr>
              <w:pStyle w:val="Normal"/>
              <w:widowControl w:val="false"/>
              <w:snapToGrid w:val="false"/>
              <w:spacing w:before="0" w:after="0"/>
              <w:ind w:left="57" w:right="57" w:hanging="0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b w:val="false"/>
                <w:i w:val="false"/>
                <w:color w:val="000000"/>
                <w:sz w:val="22"/>
                <w:szCs w:val="22"/>
              </w:rPr>
              <w:t xml:space="preserve">→ </w:t>
            </w:r>
            <w:r>
              <w:rPr>
                <w:b w:val="false"/>
                <w:i w:val="false"/>
                <w:color w:val="000000"/>
                <w:sz w:val="22"/>
                <w:szCs w:val="22"/>
              </w:rPr>
              <w:t xml:space="preserve">Police :  </w:t>
            </w:r>
            <w:r>
              <w:rPr>
                <w:b/>
                <w:bCs/>
                <w:i w:val="false"/>
                <w:color w:val="000000"/>
                <w:sz w:val="22"/>
                <w:szCs w:val="22"/>
              </w:rPr>
              <w:t>Libération Serif - taille 11,</w:t>
            </w:r>
          </w:p>
          <w:p>
            <w:pPr>
              <w:pStyle w:val="Normal"/>
              <w:widowControl w:val="false"/>
              <w:snapToGrid w:val="false"/>
              <w:spacing w:before="0" w:after="0"/>
              <w:ind w:left="57" w:right="57" w:hanging="0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b w:val="false"/>
                <w:i w:val="false"/>
                <w:color w:val="000000"/>
                <w:sz w:val="22"/>
                <w:szCs w:val="22"/>
              </w:rPr>
              <w:t xml:space="preserve">→ </w:t>
            </w:r>
            <w:r>
              <w:rPr>
                <w:b w:val="false"/>
                <w:i w:val="false"/>
                <w:color w:val="000000"/>
                <w:sz w:val="22"/>
                <w:szCs w:val="22"/>
              </w:rPr>
              <w:t xml:space="preserve">Interligne ; </w:t>
            </w:r>
            <w:r>
              <w:rPr>
                <w:b/>
                <w:bCs/>
                <w:i w:val="false"/>
                <w:color w:val="000000"/>
                <w:sz w:val="22"/>
                <w:szCs w:val="22"/>
              </w:rPr>
              <w:t>Simple.</w:t>
            </w:r>
          </w:p>
          <w:p>
            <w:pPr>
              <w:pStyle w:val="Normal"/>
              <w:widowControl w:val="false"/>
              <w:snapToGrid w:val="false"/>
              <w:spacing w:before="0" w:after="0"/>
              <w:ind w:left="57" w:right="57" w:hanging="0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napToGrid w:val="false"/>
              <w:spacing w:before="0" w:after="0"/>
              <w:ind w:left="57" w:right="57" w:hanging="0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eastAsia="SimSun" w:cs="Mangal"/>
                <w:b w:val="false"/>
                <w:i w:val="false"/>
                <w:color w:val="000000"/>
                <w:kern w:val="2"/>
                <w:sz w:val="22"/>
                <w:szCs w:val="22"/>
                <w:lang w:val="fr-FR" w:eastAsia="zh-CN" w:bidi="hi-IN"/>
              </w:rPr>
              <w:t>Aucune page supplémentaire, aucun renvoi ou autre pièce jointe (hormis ceux cités dans le présent document) ne sera pris en considération par le pouvoir adjudicateur. En cas de non-respect, seules les 22 premières pages seront prises en compte et analysées.</w:t>
            </w:r>
          </w:p>
          <w:p>
            <w:pPr>
              <w:pStyle w:val="Normal"/>
              <w:widowControl w:val="false"/>
              <w:snapToGrid w:val="false"/>
              <w:spacing w:before="0" w:after="0"/>
              <w:ind w:left="57" w:right="57" w:hanging="0"/>
              <w:jc w:val="both"/>
              <w:rPr>
                <w:rFonts w:ascii="Liberation Serif" w:hAnsi="Liberation Serif" w:eastAsia="SimSun" w:cs="Mangal"/>
                <w:b w:val="false"/>
                <w:b w:val="false"/>
                <w:i w:val="false"/>
                <w:i w:val="false"/>
                <w:color w:val="000000"/>
                <w:kern w:val="2"/>
                <w:sz w:val="22"/>
                <w:szCs w:val="22"/>
                <w:lang w:val="fr-FR" w:eastAsia="zh-CN" w:bidi="hi-IN"/>
              </w:rPr>
            </w:pPr>
            <w:r>
              <w:rPr>
                <w:rFonts w:eastAsia="SimSun" w:cs="Mangal"/>
                <w:b w:val="false"/>
                <w:i w:val="false"/>
                <w:color w:val="000000"/>
                <w:kern w:val="2"/>
                <w:sz w:val="22"/>
                <w:szCs w:val="22"/>
                <w:lang w:val="fr-FR" w:eastAsia="zh-CN" w:bidi="hi-IN"/>
              </w:rPr>
            </w:r>
          </w:p>
          <w:p>
            <w:pPr>
              <w:pStyle w:val="Normal"/>
              <w:widowControl w:val="false"/>
              <w:snapToGrid w:val="false"/>
              <w:spacing w:before="0" w:after="0"/>
              <w:ind w:left="57" w:right="57" w:hanging="0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eastAsia="SimSun" w:cs="Mangal"/>
                <w:b w:val="false"/>
                <w:i w:val="false"/>
                <w:color w:val="000000"/>
                <w:kern w:val="2"/>
                <w:sz w:val="22"/>
                <w:szCs w:val="22"/>
                <w:lang w:val="fr-FR" w:eastAsia="zh-CN" w:bidi="hi-IN"/>
              </w:rPr>
              <w:t>Aucune modification sur le fond n’est tolérée</w:t>
            </w:r>
          </w:p>
          <w:p>
            <w:pPr>
              <w:pStyle w:val="Normal"/>
              <w:widowControl w:val="false"/>
              <w:snapToGrid w:val="false"/>
              <w:spacing w:before="0" w:after="0"/>
              <w:ind w:left="57" w:right="57" w:hanging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snapToGrid w:val="false"/>
        <w:spacing w:before="0" w:after="0"/>
        <w:ind w:left="57" w:right="57" w:hanging="0"/>
        <w:jc w:val="both"/>
        <w:rPr>
          <w:rFonts w:ascii="Liberation Serif" w:hAnsi="Liberation Serif"/>
          <w:i w:val="false"/>
          <w:i w:val="false"/>
          <w:color w:val="000000"/>
          <w:sz w:val="22"/>
          <w:szCs w:val="22"/>
        </w:rPr>
      </w:pPr>
      <w:r>
        <w:rPr>
          <w:i w:val="false"/>
          <w:color w:val="000000"/>
          <w:sz w:val="22"/>
          <w:szCs w:val="22"/>
        </w:rPr>
      </w:r>
      <w:r>
        <w:br w:type="page"/>
      </w:r>
    </w:p>
    <w:p>
      <w:pPr>
        <w:pStyle w:val="Normal"/>
        <w:rPr/>
      </w:pPr>
      <w:r>
        <w:rPr/>
        <w:t>Le présent cadre de réponse est à compléter par le candidat. Il doit permettre d’apprécier la qualité de l’offre au regard des critères de jugement définis dans le règlement de consultation.</w:t>
      </w:r>
    </w:p>
    <w:p>
      <w:pPr>
        <w:pStyle w:val="IntenseQuote"/>
        <w:widowControl/>
        <w:pBdr>
          <w:bottom w:val="single" w:sz="4" w:space="4" w:color="4F81BD"/>
        </w:pBdr>
        <w:suppressAutoHyphens w:val="true"/>
        <w:overflowPunct w:val="false"/>
        <w:bidi w:val="0"/>
        <w:snapToGrid w:val="false"/>
        <w:spacing w:before="0" w:after="0"/>
        <w:ind w:left="0" w:right="0" w:hanging="0"/>
        <w:jc w:val="both"/>
        <w:rPr/>
      </w:pPr>
      <w:r>
        <w:rPr/>
      </w:r>
    </w:p>
    <w:p>
      <w:pPr>
        <w:pStyle w:val="Titre1"/>
        <w:numPr>
          <w:ilvl w:val="0"/>
          <w:numId w:val="2"/>
        </w:numPr>
        <w:ind w:left="57" w:right="57" w:hanging="0"/>
        <w:rPr/>
      </w:pPr>
      <w:r>
        <w:rPr/>
        <w:t>Compréhension du contexte et des enjeux du projet (coefficient 4)</w:t>
      </w:r>
    </w:p>
    <w:p>
      <w:pPr>
        <w:pStyle w:val="IntenseQuote"/>
        <w:widowControl/>
        <w:pBdr>
          <w:bottom w:val="nil"/>
        </w:pBdr>
        <w:suppressAutoHyphens w:val="true"/>
        <w:overflowPunct w:val="false"/>
        <w:bidi w:val="0"/>
        <w:snapToGrid w:val="false"/>
        <w:spacing w:before="200" w:after="280"/>
        <w:ind w:left="0" w:right="0" w:hanging="0"/>
        <w:jc w:val="both"/>
        <w:rPr/>
      </w:pPr>
      <w:r>
        <w:rPr/>
        <w:t>Réponse du candidat :</w:t>
      </w:r>
    </w:p>
    <w:p>
      <w:pPr>
        <w:pStyle w:val="IntenseQuote"/>
        <w:widowControl/>
        <w:pBdr>
          <w:bottom w:val="single" w:sz="4" w:space="4" w:color="4F81BD"/>
        </w:pBdr>
        <w:suppressAutoHyphens w:val="true"/>
        <w:overflowPunct w:val="false"/>
        <w:bidi w:val="0"/>
        <w:snapToGrid w:val="false"/>
        <w:spacing w:before="0" w:after="0"/>
        <w:ind w:left="0" w:right="0" w:hanging="0"/>
        <w:jc w:val="both"/>
        <w:rPr/>
      </w:pPr>
      <w:r>
        <w:rPr/>
      </w:r>
    </w:p>
    <w:p>
      <w:pPr>
        <w:pStyle w:val="Normal"/>
        <w:widowControl/>
        <w:pBdr>
          <w:bottom w:val="single" w:sz="4" w:space="4" w:color="4F81BD"/>
        </w:pBdr>
        <w:suppressAutoHyphens w:val="true"/>
        <w:overflowPunct w:val="false"/>
        <w:bidi w:val="0"/>
        <w:snapToGrid w:val="false"/>
        <w:spacing w:before="0" w:after="0"/>
        <w:ind w:left="0" w:right="0" w:hanging="0"/>
        <w:jc w:val="both"/>
        <w:rPr/>
      </w:pPr>
      <w:r>
        <w:rPr/>
      </w:r>
    </w:p>
    <w:p>
      <w:pPr>
        <w:pStyle w:val="Normal"/>
        <w:widowControl/>
        <w:pBdr>
          <w:bottom w:val="single" w:sz="4" w:space="4" w:color="4F81BD"/>
        </w:pBdr>
        <w:suppressAutoHyphens w:val="true"/>
        <w:overflowPunct w:val="false"/>
        <w:bidi w:val="0"/>
        <w:snapToGrid w:val="false"/>
        <w:spacing w:before="0" w:after="0"/>
        <w:ind w:left="0" w:right="0" w:hanging="0"/>
        <w:jc w:val="both"/>
        <w:rPr/>
      </w:pPr>
      <w:r>
        <w:rPr/>
      </w:r>
    </w:p>
    <w:p>
      <w:pPr>
        <w:pStyle w:val="Normal"/>
        <w:widowControl/>
        <w:pBdr>
          <w:bottom w:val="single" w:sz="4" w:space="4" w:color="4F81BD"/>
        </w:pBdr>
        <w:suppressAutoHyphens w:val="true"/>
        <w:overflowPunct w:val="false"/>
        <w:bidi w:val="0"/>
        <w:snapToGrid w:val="false"/>
        <w:spacing w:before="0" w:after="0"/>
        <w:ind w:left="0" w:right="0" w:hanging="0"/>
        <w:jc w:val="both"/>
        <w:rPr/>
      </w:pPr>
      <w:r>
        <w:rPr/>
      </w:r>
    </w:p>
    <w:p>
      <w:pPr>
        <w:pStyle w:val="Normal"/>
        <w:widowControl/>
        <w:pBdr>
          <w:bottom w:val="single" w:sz="4" w:space="4" w:color="4F81BD"/>
        </w:pBdr>
        <w:suppressAutoHyphens w:val="true"/>
        <w:overflowPunct w:val="false"/>
        <w:bidi w:val="0"/>
        <w:snapToGrid w:val="false"/>
        <w:spacing w:before="0" w:after="0"/>
        <w:ind w:left="0" w:right="0" w:hanging="0"/>
        <w:jc w:val="both"/>
        <w:rPr/>
      </w:pPr>
      <w:r>
        <w:rPr/>
      </w:r>
    </w:p>
    <w:p>
      <w:pPr>
        <w:pStyle w:val="Normal"/>
        <w:widowControl/>
        <w:pBdr>
          <w:bottom w:val="single" w:sz="4" w:space="4" w:color="4F81BD"/>
        </w:pBdr>
        <w:suppressAutoHyphens w:val="true"/>
        <w:overflowPunct w:val="false"/>
        <w:bidi w:val="0"/>
        <w:snapToGrid w:val="false"/>
        <w:spacing w:before="0" w:after="0"/>
        <w:ind w:left="0" w:right="0" w:hanging="0"/>
        <w:jc w:val="both"/>
        <w:rPr/>
      </w:pPr>
      <w:r>
        <w:rPr/>
      </w:r>
    </w:p>
    <w:p>
      <w:pPr>
        <w:pStyle w:val="Normal"/>
        <w:widowControl/>
        <w:pBdr>
          <w:bottom w:val="single" w:sz="4" w:space="4" w:color="4F81BD"/>
        </w:pBdr>
        <w:suppressAutoHyphens w:val="true"/>
        <w:overflowPunct w:val="false"/>
        <w:bidi w:val="0"/>
        <w:snapToGrid w:val="false"/>
        <w:spacing w:before="0" w:after="0"/>
        <w:ind w:left="0" w:right="0" w:hanging="0"/>
        <w:jc w:val="both"/>
        <w:rPr/>
      </w:pPr>
      <w:r>
        <w:rPr/>
      </w:r>
    </w:p>
    <w:p>
      <w:pPr>
        <w:pStyle w:val="Titre1"/>
        <w:numPr>
          <w:ilvl w:val="0"/>
          <w:numId w:val="2"/>
        </w:numPr>
        <w:ind w:left="57" w:right="57" w:hanging="0"/>
        <w:rPr/>
      </w:pPr>
      <w:r>
        <w:rPr/>
        <w:t>Méthodologie proposée pour conduire la mission (coefficient 5)</w:t>
      </w:r>
    </w:p>
    <w:p>
      <w:pPr>
        <w:pStyle w:val="IntenseQuote"/>
        <w:widowControl/>
        <w:pBdr>
          <w:bottom w:val="nil"/>
        </w:pBdr>
        <w:suppressAutoHyphens w:val="true"/>
        <w:overflowPunct w:val="false"/>
        <w:bidi w:val="0"/>
        <w:snapToGrid w:val="false"/>
        <w:spacing w:before="200" w:after="280"/>
        <w:ind w:left="0" w:right="0" w:hanging="0"/>
        <w:jc w:val="both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pBdr>
          <w:bottom w:val="single" w:sz="4" w:space="4" w:color="4F81BD"/>
        </w:pBdr>
        <w:suppressAutoHyphens w:val="true"/>
        <w:overflowPunct w:val="false"/>
        <w:bidi w:val="0"/>
        <w:snapToGrid w:val="false"/>
        <w:spacing w:before="0" w:after="0"/>
        <w:ind w:left="0" w:right="0" w:hanging="0"/>
        <w:jc w:val="both"/>
        <w:rPr/>
      </w:pPr>
      <w:r>
        <w:rPr/>
      </w:r>
    </w:p>
    <w:p>
      <w:pPr>
        <w:pStyle w:val="Titre1"/>
        <w:numPr>
          <w:ilvl w:val="0"/>
          <w:numId w:val="2"/>
        </w:numPr>
        <w:ind w:left="57" w:right="57" w:hanging="0"/>
        <w:rPr/>
      </w:pPr>
      <w:r>
        <w:rPr/>
        <w:t xml:space="preserve">Qualité de l’équipe dédiée à la mission (coefficient </w:t>
      </w:r>
      <w:r>
        <w:rPr/>
        <w:t>3</w:t>
      </w:r>
      <w:r>
        <w:rPr/>
        <w:t>)</w:t>
      </w:r>
    </w:p>
    <w:p>
      <w:pPr>
        <w:pStyle w:val="Normal"/>
        <w:rPr/>
      </w:pPr>
      <w:r>
        <w:rPr/>
        <w:t>Merci de présenter la composition de votre équipe projet :</w:t>
        <w:br/>
        <w:t>- Nom, fonction, rôle de chaque intervenant dans la mission</w:t>
      </w:r>
    </w:p>
    <w:p>
      <w:pPr>
        <w:pStyle w:val="Normal"/>
        <w:rPr/>
      </w:pPr>
      <w:r>
        <w:rPr>
          <w:rFonts w:eastAsia="SimSun" w:cs="Mangal"/>
          <w:color w:val="000000"/>
          <w:kern w:val="2"/>
          <w:sz w:val="22"/>
          <w:szCs w:val="22"/>
          <w:lang w:val="fr-FR" w:eastAsia="zh-CN" w:bidi="hi-IN"/>
        </w:rPr>
        <w:t>-  Organigramme projet avec identification des rôles</w:t>
      </w:r>
      <w:r>
        <w:rPr/>
        <w:br/>
        <w:t>-  CV à joindre pour chaque intervenant</w:t>
        <w:br/>
      </w:r>
      <w:r>
        <w:rPr>
          <w:rFonts w:eastAsia="SimSun" w:cs="Mangal"/>
          <w:color w:val="auto"/>
          <w:kern w:val="2"/>
          <w:sz w:val="22"/>
          <w:szCs w:val="22"/>
          <w:lang w:val="fr-FR" w:eastAsia="zh-CN" w:bidi="hi-IN"/>
        </w:rPr>
        <w:t>- Expériences similaires ou références pertinentes</w:t>
        <w:br/>
        <w:t xml:space="preserve">- </w:t>
      </w:r>
      <w:r>
        <w:rPr>
          <w:rFonts w:eastAsia="SimSun" w:cs="Mangal"/>
          <w:color w:val="000000"/>
          <w:kern w:val="2"/>
          <w:sz w:val="22"/>
          <w:szCs w:val="22"/>
          <w:lang w:val="fr-FR" w:eastAsia="zh-CN" w:bidi="hi-IN"/>
        </w:rPr>
        <w:t>Adéquation des profils avec les besoins de la mission, expérience sur des projets similaires</w:t>
      </w:r>
      <w:r>
        <w:rPr>
          <w:rFonts w:eastAsia="SimSun" w:cs="Mangal"/>
          <w:color w:val="auto"/>
          <w:kern w:val="2"/>
          <w:sz w:val="22"/>
          <w:szCs w:val="22"/>
          <w:lang w:val="fr-FR" w:eastAsia="zh-CN" w:bidi="hi-IN"/>
        </w:rPr>
        <w:t xml:space="preserve"> </w:t>
      </w:r>
      <w:r>
        <w:rPr/>
        <w:t xml:space="preserve">→ </w:t>
      </w:r>
      <w:r>
        <w:rPr>
          <w:highlight w:val="yellow"/>
        </w:rPr>
        <w:t xml:space="preserve"> bien remplir l’annexe 1 de l’AE - CDPGF (rôle de chaque intervenant  pour chaque phase)</w:t>
      </w:r>
    </w:p>
    <w:p>
      <w:pPr>
        <w:pStyle w:val="IntenseQuote"/>
        <w:widowControl/>
        <w:pBdr>
          <w:bottom w:val="nil"/>
        </w:pBdr>
        <w:suppressAutoHyphens w:val="true"/>
        <w:overflowPunct w:val="false"/>
        <w:bidi w:val="0"/>
        <w:snapToGrid w:val="false"/>
        <w:spacing w:before="200" w:after="280"/>
        <w:ind w:left="0" w:right="0" w:hanging="0"/>
        <w:jc w:val="both"/>
        <w:rPr/>
      </w:pPr>
      <w:r>
        <w:rPr/>
        <w:t>Réponse du candidat 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pBdr>
          <w:bottom w:val="single" w:sz="4" w:space="4" w:color="4F81BD"/>
        </w:pBdr>
        <w:suppressAutoHyphens w:val="true"/>
        <w:overflowPunct w:val="false"/>
        <w:bidi w:val="0"/>
        <w:snapToGrid w:val="false"/>
        <w:spacing w:before="0" w:after="0"/>
        <w:ind w:left="0" w:right="0" w:hanging="0"/>
        <w:jc w:val="both"/>
        <w:rPr/>
      </w:pPr>
      <w:r>
        <w:rPr/>
      </w:r>
    </w:p>
    <w:p>
      <w:pPr>
        <w:pStyle w:val="Titre1"/>
        <w:numPr>
          <w:ilvl w:val="0"/>
          <w:numId w:val="2"/>
        </w:numPr>
        <w:ind w:left="57" w:right="57" w:hanging="0"/>
        <w:rPr/>
      </w:pPr>
      <w:r>
        <w:rPr/>
        <w:t>Pertinence du planning d’intervention proposé (coefficient 2)</w:t>
      </w:r>
    </w:p>
    <w:p>
      <w:pPr>
        <w:pStyle w:val="IntenseQuote"/>
        <w:widowControl/>
        <w:pBdr>
          <w:bottom w:val="nil"/>
        </w:pBdr>
        <w:suppressAutoHyphens w:val="true"/>
        <w:overflowPunct w:val="false"/>
        <w:bidi w:val="0"/>
        <w:snapToGrid w:val="false"/>
        <w:spacing w:before="200" w:after="280"/>
        <w:ind w:left="0" w:right="0" w:hanging="0"/>
        <w:jc w:val="both"/>
        <w:rPr/>
      </w:pPr>
      <w:r>
        <w:rPr/>
        <w:t>Réponse du candidat :</w:t>
      </w:r>
    </w:p>
    <w:sectPr>
      <w:headerReference w:type="default" r:id="rId4"/>
      <w:footerReference w:type="default" r:id="rId5"/>
      <w:type w:val="nextPage"/>
      <w:pgSz w:w="11906" w:h="16838"/>
      <w:pgMar w:left="567" w:right="567" w:header="567" w:top="1092" w:footer="567" w:bottom="1162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1"/>
    <w:family w:val="auto"/>
    <w:pitch w:val="default"/>
  </w:font>
  <w:font w:name="OpenSymbol">
    <w:altName w:val="Arial Unicode MS"/>
    <w:charset w:val="01"/>
    <w:family w:val="auto"/>
    <w:pitch w:val="default"/>
  </w:font>
  <w:font w:name="Wingdings">
    <w:charset w:val="01"/>
    <w:family w:val="auto"/>
    <w:pitch w:val="default"/>
  </w:font>
  <w:font w:name="Courier New">
    <w:charset w:val="01"/>
    <w:family w:val="auto"/>
    <w:pitch w:val="default"/>
  </w:font>
  <w:font w:name="Symbol"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Arial">
    <w:charset w:val="01"/>
    <w:family w:val="auto"/>
    <w:pitch w:val="default"/>
  </w:font>
  <w:font w:name="Marianne">
    <w:charset w:val="01"/>
    <w:family w:val="auto"/>
    <w:pitch w:val="default"/>
  </w:font>
  <w:font w:name="Marianne">
    <w:charset w:val="00"/>
    <w:family w:val="moder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5000" w:type="pct"/>
      <w:jc w:val="left"/>
      <w:tblInd w:w="0" w:type="dxa"/>
      <w:tblCellMar>
        <w:top w:w="55" w:type="dxa"/>
        <w:left w:w="55" w:type="dxa"/>
        <w:bottom w:w="55" w:type="dxa"/>
        <w:right w:w="55" w:type="dxa"/>
      </w:tblCellMar>
    </w:tblPr>
    <w:tblGrid>
      <w:gridCol w:w="3590"/>
      <w:gridCol w:w="3591"/>
      <w:gridCol w:w="3591"/>
    </w:tblGrid>
    <w:tr>
      <w:trPr/>
      <w:tc>
        <w:tcPr>
          <w:tcW w:w="3590" w:type="dxa"/>
          <w:tcBorders>
            <w:top w:val="single" w:sz="2" w:space="0" w:color="000000"/>
          </w:tcBorders>
        </w:tcPr>
        <w:p>
          <w:pPr>
            <w:pStyle w:val="Normal"/>
            <w:widowControl w:val="false"/>
            <w:tabs>
              <w:tab w:val="right" w:pos="9355" w:leader="dot"/>
            </w:tabs>
            <w:spacing w:before="0" w:after="0"/>
            <w:jc w:val="left"/>
            <w:rPr>
              <w:rFonts w:ascii="Marianne" w:hAnsi="Marianne"/>
              <w:b w:val="false"/>
              <w:b w:val="false"/>
              <w:bCs w:val="false"/>
              <w:color w:val="auto"/>
              <w:sz w:val="16"/>
              <w:szCs w:val="18"/>
            </w:rPr>
          </w:pPr>
          <w:r>
            <w:rPr>
              <w:rFonts w:ascii="Marianne" w:hAnsi="Marianne"/>
              <w:b w:val="false"/>
              <w:bCs w:val="false"/>
              <w:color w:val="000000"/>
              <w:sz w:val="16"/>
              <w:szCs w:val="18"/>
              <w:shd w:fill="auto" w:val="clear"/>
            </w:rPr>
            <w:t>SGC974-</w:t>
          </w:r>
          <w:r>
            <w:rPr>
              <w:rFonts w:eastAsia="SimSun" w:cs="Mangal" w:ascii="Marianne" w:hAnsi="Marianne"/>
              <w:b w:val="false"/>
              <w:bCs w:val="false"/>
              <w:color w:val="000000"/>
              <w:kern w:val="2"/>
              <w:sz w:val="16"/>
              <w:szCs w:val="18"/>
              <w:shd w:fill="auto" w:val="clear"/>
              <w:lang w:val="fr-FR" w:eastAsia="zh-CN" w:bidi="hi-IN"/>
            </w:rPr>
            <w:t>DEETS</w:t>
          </w:r>
          <w:r>
            <w:rPr>
              <w:rFonts w:ascii="Marianne" w:hAnsi="Marianne"/>
              <w:b w:val="false"/>
              <w:bCs w:val="false"/>
              <w:color w:val="000000"/>
              <w:sz w:val="16"/>
              <w:szCs w:val="18"/>
              <w:shd w:fill="auto" w:val="clear"/>
            </w:rPr>
            <w:t>-2025-01</w:t>
          </w:r>
        </w:p>
      </w:tc>
      <w:tc>
        <w:tcPr>
          <w:tcW w:w="3591" w:type="dxa"/>
          <w:tcBorders>
            <w:top w:val="single" w:sz="2" w:space="0" w:color="000000"/>
          </w:tcBorders>
        </w:tcPr>
        <w:p>
          <w:pPr>
            <w:pStyle w:val="Pieddepage"/>
            <w:widowControl w:val="false"/>
            <w:spacing w:before="0" w:after="0"/>
            <w:jc w:val="center"/>
            <w:rPr/>
          </w:pPr>
          <w:r>
            <w:rPr>
              <w:rFonts w:ascii="Marianne" w:hAnsi="Marianne"/>
              <w:sz w:val="18"/>
              <w:szCs w:val="18"/>
            </w:rPr>
            <w:t>Page n°</w:t>
          </w:r>
          <w:r>
            <w:rPr>
              <w:rFonts w:ascii="Marianne" w:hAnsi="Marianne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ascii="Marianne" w:hAnsi="Marianne"/>
            </w:rPr>
            <w:instrText> PAGE </w:instrText>
          </w:r>
          <w:r>
            <w:rPr>
              <w:sz w:val="18"/>
              <w:szCs w:val="18"/>
              <w:rFonts w:ascii="Marianne" w:hAnsi="Marianne"/>
            </w:rPr>
            <w:fldChar w:fldCharType="separate"/>
          </w:r>
          <w:r>
            <w:rPr>
              <w:sz w:val="18"/>
              <w:szCs w:val="18"/>
              <w:rFonts w:ascii="Marianne" w:hAnsi="Marianne"/>
            </w:rPr>
            <w:t>1</w:t>
          </w:r>
          <w:r>
            <w:rPr>
              <w:sz w:val="18"/>
              <w:szCs w:val="18"/>
              <w:rFonts w:ascii="Marianne" w:hAnsi="Marianne"/>
            </w:rPr>
            <w:fldChar w:fldCharType="end"/>
          </w:r>
          <w:r>
            <w:rPr>
              <w:rFonts w:ascii="Marianne" w:hAnsi="Marianne"/>
              <w:sz w:val="18"/>
              <w:szCs w:val="18"/>
            </w:rPr>
            <w:t xml:space="preserve">/ </w:t>
          </w:r>
          <w:r>
            <w:rPr>
              <w:rFonts w:ascii="Marianne" w:hAnsi="Marianne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ascii="Marianne" w:hAnsi="Marianne"/>
            </w:rPr>
            <w:instrText> NUMPAGES </w:instrText>
          </w:r>
          <w:r>
            <w:rPr>
              <w:sz w:val="18"/>
              <w:szCs w:val="18"/>
              <w:rFonts w:ascii="Marianne" w:hAnsi="Marianne"/>
            </w:rPr>
            <w:fldChar w:fldCharType="separate"/>
          </w:r>
          <w:r>
            <w:rPr>
              <w:sz w:val="18"/>
              <w:szCs w:val="18"/>
              <w:rFonts w:ascii="Marianne" w:hAnsi="Marianne"/>
            </w:rPr>
            <w:t>3</w:t>
          </w:r>
          <w:r>
            <w:rPr>
              <w:sz w:val="18"/>
              <w:szCs w:val="18"/>
              <w:rFonts w:ascii="Marianne" w:hAnsi="Marianne"/>
            </w:rPr>
            <w:fldChar w:fldCharType="end"/>
          </w:r>
        </w:p>
      </w:tc>
      <w:tc>
        <w:tcPr>
          <w:tcW w:w="3591" w:type="dxa"/>
          <w:tcBorders>
            <w:top w:val="single" w:sz="2" w:space="0" w:color="000000"/>
          </w:tcBorders>
        </w:tcPr>
        <w:p>
          <w:pPr>
            <w:pStyle w:val="Pieddepage"/>
            <w:widowControl w:val="false"/>
            <w:spacing w:before="0" w:after="0"/>
            <w:rPr>
              <w:rFonts w:ascii="Liberation Serif" w:hAnsi="Liberation Serif"/>
              <w:sz w:val="20"/>
              <w:szCs w:val="20"/>
            </w:rPr>
          </w:pPr>
          <w:r>
            <w:rPr>
              <w:sz w:val="20"/>
              <w:szCs w:val="20"/>
            </w:rPr>
          </w:r>
        </w:p>
      </w:tc>
    </w:tr>
  </w:tbl>
  <w:p>
    <w:pPr>
      <w:pStyle w:val="Pieddepage"/>
      <w:ind w:left="0" w:right="57" w:hanging="0"/>
      <w:rPr>
        <w:sz w:val="18"/>
        <w:szCs w:val="18"/>
      </w:rPr>
    </w:pPr>
    <w:r>
      <w:rPr>
        <w:sz w:val="18"/>
        <w:szCs w:val="18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pBdr>
        <w:bottom w:val="single" w:sz="2" w:space="1" w:color="000000"/>
      </w:pBdr>
      <w:snapToGrid w:val="false"/>
      <w:spacing w:before="0" w:after="0"/>
      <w:ind w:left="-91" w:right="-10" w:hanging="0"/>
      <w:jc w:val="right"/>
      <w:rPr>
        <w:i w:val="false"/>
        <w:i w:val="false"/>
        <w:iCs w:val="false"/>
      </w:rPr>
    </w:pPr>
    <w:r>
      <w:rPr>
        <w:i w:val="false"/>
        <w:iCs w:val="false"/>
      </w:rPr>
    </w:r>
  </w:p>
  <w:p>
    <w:pPr>
      <w:pStyle w:val="Entte"/>
      <w:pBdr>
        <w:bottom w:val="single" w:sz="2" w:space="1" w:color="000000"/>
      </w:pBdr>
      <w:snapToGrid w:val="false"/>
      <w:spacing w:before="0" w:after="0"/>
      <w:ind w:left="-91" w:right="-10" w:hanging="0"/>
      <w:jc w:val="right"/>
      <w:rPr>
        <w:rFonts w:ascii="Liberation Serif" w:hAnsi="Liberation Serif"/>
      </w:rPr>
    </w:pPr>
    <w:r>
      <w:rPr>
        <w:b w:val="false"/>
        <w:bCs w:val="false"/>
        <w:i w:val="false"/>
        <w:iCs w:val="false"/>
        <w:color w:val="000000"/>
        <w:sz w:val="16"/>
        <w:szCs w:val="16"/>
        <w:shd w:fill="auto" w:val="clear"/>
      </w:rPr>
      <w:t>Cadre de réponse technique : Annexe 1 du RC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re1"/>
      <w:numFmt w:val="decimal"/>
      <w:lvlText w:val="CQ 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CQ 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10"/>
  <w:defaultTabStop w:val="709"/>
  <w:compat>
    <w:doNotExpandShiftReturn/>
  </w:compat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tabs>
        <w:tab w:val="clear" w:pos="709"/>
      </w:tabs>
      <w:suppressAutoHyphens w:val="true"/>
      <w:overflowPunct w:val="false"/>
      <w:bidi w:val="0"/>
      <w:snapToGrid w:val="false"/>
      <w:spacing w:before="0" w:after="0"/>
      <w:ind w:left="57" w:right="57" w:hanging="0"/>
      <w:jc w:val="both"/>
    </w:pPr>
    <w:rPr>
      <w:rFonts w:ascii="Liberation Serif" w:hAnsi="Liberation Serif" w:eastAsia="SimSun" w:cs="Mangal"/>
      <w:color w:val="auto"/>
      <w:kern w:val="2"/>
      <w:sz w:val="22"/>
      <w:szCs w:val="22"/>
      <w:lang w:val="fr-FR" w:eastAsia="zh-CN" w:bidi="hi-IN"/>
    </w:rPr>
  </w:style>
  <w:style w:type="paragraph" w:styleId="Titre1">
    <w:name w:val="Heading 1"/>
    <w:basedOn w:val="Titre"/>
    <w:next w:val="Corpsdetexte"/>
    <w:qFormat/>
    <w:pPr>
      <w:numPr>
        <w:ilvl w:val="0"/>
        <w:numId w:val="1"/>
      </w:numPr>
      <w:snapToGrid w:val="false"/>
      <w:spacing w:before="0" w:after="0"/>
      <w:ind w:left="57" w:right="57" w:hanging="0"/>
      <w:jc w:val="both"/>
      <w:outlineLvl w:val="0"/>
    </w:pPr>
    <w:rPr>
      <w:b/>
      <w:bCs w:val="false"/>
      <w:caps/>
      <w:sz w:val="22"/>
      <w:szCs w:val="22"/>
    </w:rPr>
  </w:style>
  <w:style w:type="paragraph" w:styleId="Titre2">
    <w:name w:val="Heading 2"/>
    <w:basedOn w:val="Titre"/>
    <w:next w:val="Corpsdetexte"/>
    <w:qFormat/>
    <w:pPr>
      <w:spacing w:before="200" w:after="120"/>
      <w:outlineLvl w:val="1"/>
    </w:pPr>
    <w:rPr>
      <w:b/>
      <w:bCs/>
      <w:sz w:val="21"/>
      <w:szCs w:val="32"/>
    </w:rPr>
  </w:style>
  <w:style w:type="character" w:styleId="LienInternet">
    <w:name w:val="Lien Internet"/>
    <w:qFormat/>
    <w:rPr>
      <w:color w:val="000080"/>
      <w:u w:val="single"/>
      <w:lang w:val="zxx" w:eastAsia="zxx" w:bidi="zxx"/>
    </w:rPr>
  </w:style>
  <w:style w:type="character" w:styleId="Caractresdenumrotation">
    <w:name w:val="Caractères de numérotation"/>
    <w:qFormat/>
    <w:rPr/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WW8Num10z0">
    <w:name w:val="WW8Num10z0"/>
    <w:qFormat/>
    <w:rPr>
      <w:rFonts w:ascii="Wingdings" w:hAnsi="Wingdings" w:cs="Wingdings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23z0">
    <w:name w:val="WW8Num23z0"/>
    <w:qFormat/>
    <w:rPr>
      <w:rFonts w:ascii="Wingdings" w:hAnsi="Wingdings" w:cs="Wingdings"/>
      <w:color w:val="000000"/>
    </w:rPr>
  </w:style>
  <w:style w:type="character" w:styleId="WW8Num23z1">
    <w:name w:val="WW8Num23z1"/>
    <w:qFormat/>
    <w:rPr>
      <w:rFonts w:ascii="Courier New" w:hAnsi="Courier New" w:cs="Courier New"/>
      <w:color w:val="000000"/>
    </w:rPr>
  </w:style>
  <w:style w:type="character" w:styleId="WW8Num23z3">
    <w:name w:val="WW8Num23z3"/>
    <w:qFormat/>
    <w:rPr>
      <w:rFonts w:ascii="Symbol" w:hAnsi="Symbol" w:cs="Symbol"/>
    </w:rPr>
  </w:style>
  <w:style w:type="character" w:styleId="WW8Num2z0">
    <w:name w:val="WW8Num2z0"/>
    <w:qFormat/>
    <w:rPr>
      <w:rFonts w:ascii="Wingdings" w:hAnsi="Wingdings" w:cs="Wingdings"/>
      <w:color w:val="000000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3">
    <w:name w:val="WW8Num2z3"/>
    <w:qFormat/>
    <w:rPr>
      <w:rFonts w:ascii="Symbol" w:hAnsi="Symbol" w:cs="Symbol"/>
    </w:rPr>
  </w:style>
  <w:style w:type="character" w:styleId="Accentuationforte">
    <w:name w:val="Accentuation forte"/>
    <w:qFormat/>
    <w:rPr>
      <w:b/>
      <w:bCs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Entteetpieddepage"/>
    <w:pPr>
      <w:suppressLineNumbers/>
    </w:pPr>
    <w:rPr/>
  </w:style>
  <w:style w:type="paragraph" w:styleId="Pieddepage">
    <w:name w:val="Footer"/>
    <w:basedOn w:val="Entteetpieddepage"/>
    <w:pPr>
      <w:suppressLineNumbers/>
    </w:pPr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principal">
    <w:name w:val="Title"/>
    <w:basedOn w:val="Titre"/>
    <w:next w:val="Corpsdetexte"/>
    <w:qFormat/>
    <w:pPr>
      <w:jc w:val="center"/>
    </w:pPr>
    <w:rPr>
      <w:b/>
      <w:bCs/>
      <w:sz w:val="56"/>
      <w:szCs w:val="56"/>
    </w:rPr>
  </w:style>
  <w:style w:type="paragraph" w:styleId="Parareponse">
    <w:name w:val="Para_reponse"/>
    <w:basedOn w:val="Normal"/>
    <w:qFormat/>
    <w:pPr>
      <w:spacing w:before="120" w:after="120"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Paragraphe">
    <w:name w:val="Paragraphe"/>
    <w:basedOn w:val="Normal"/>
    <w:qFormat/>
    <w:pPr>
      <w:bidi w:val="0"/>
      <w:spacing w:before="120" w:after="0"/>
      <w:jc w:val="both"/>
    </w:pPr>
    <w:rPr>
      <w:rFonts w:ascii="Arial" w:hAnsi="Arial"/>
      <w:sz w:val="20"/>
    </w:rPr>
  </w:style>
  <w:style w:type="paragraph" w:styleId="Default">
    <w:name w:val="Default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Arial" w:hAnsi="Arial" w:eastAsia="SimSun" w:cs="Mangal"/>
      <w:color w:val="000000"/>
      <w:kern w:val="2"/>
      <w:sz w:val="24"/>
      <w:szCs w:val="24"/>
      <w:lang w:val="fr-FR" w:eastAsia="zh-CN" w:bidi="hi-IN"/>
    </w:rPr>
  </w:style>
  <w:style w:type="paragraph" w:styleId="CorpsdetexteMINGOT">
    <w:name w:val="Corps de texte MINGOT"/>
    <w:basedOn w:val="Normal"/>
    <w:qFormat/>
    <w:pPr>
      <w:spacing w:before="57" w:after="57"/>
      <w:jc w:val="both"/>
    </w:pPr>
    <w:rPr>
      <w:rFonts w:ascii="Liberation Serif" w:hAnsi="Liberation Serif"/>
      <w:sz w:val="24"/>
      <w:szCs w:val="24"/>
    </w:rPr>
  </w:style>
  <w:style w:type="paragraph" w:styleId="Citations">
    <w:name w:val="Citations"/>
    <w:basedOn w:val="Normal"/>
    <w:qFormat/>
    <w:pPr>
      <w:spacing w:before="0" w:after="283"/>
      <w:ind w:left="567" w:right="567" w:hanging="0"/>
    </w:pPr>
    <w:rPr/>
  </w:style>
  <w:style w:type="paragraph" w:styleId="IntenseQuote">
    <w:name w:val="Intense Quote"/>
    <w:basedOn w:val="Normal"/>
    <w:next w:val="Normal"/>
    <w:qFormat/>
    <w:pPr>
      <w:pBdr>
        <w:bottom w:val="single" w:sz="4" w:space="4" w:color="4F81BD"/>
      </w:pBdr>
      <w:spacing w:before="200" w:after="280"/>
      <w:ind w:left="936" w:right="936" w:hanging="0"/>
    </w:pPr>
    <w:rPr>
      <w:b/>
      <w:bCs/>
      <w:i/>
      <w:iCs/>
      <w:color w:val="4F81BD" w:themeColor="accent1"/>
    </w:rPr>
  </w:style>
  <w:style w:type="numbering" w:styleId="WW8Num10">
    <w:name w:val="WW8Num10"/>
    <w:qFormat/>
  </w:style>
  <w:style w:type="numbering" w:styleId="WW8Num23">
    <w:name w:val="WW8Num23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LibreOffice/6.4.7.2$Windows_X86_64 LibreOffice_project/639b8ac485750d5696d7590a72ef1b496725cfb5</Application>
  <Pages>3</Pages>
  <Words>640</Words>
  <Characters>3470</Characters>
  <CharactersWithSpaces>4060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2025-08-14T13:56:46Z</dcterms:created>
  <dc:creator/>
  <dc:description/>
  <dc:language>fr-RE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